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51702" w:rsidRPr="000A705E" w:rsidRDefault="000A705E">
      <w:pPr>
        <w:jc w:val="right"/>
        <w:rPr>
          <w:b/>
          <w:lang w:val="fr-FR"/>
        </w:rPr>
      </w:pPr>
      <w:r w:rsidRPr="000A705E">
        <w:rPr>
          <w:b/>
          <w:lang w:val="fr-FR"/>
        </w:rPr>
        <w:t>COMMUNIQUÉ DE PRESSE</w:t>
      </w:r>
    </w:p>
    <w:p w:rsidR="00451702" w:rsidRPr="000A705E" w:rsidRDefault="00451702">
      <w:pPr>
        <w:rPr>
          <w:sz w:val="20"/>
          <w:szCs w:val="20"/>
          <w:lang w:val="fr-FR"/>
        </w:rPr>
      </w:pPr>
    </w:p>
    <w:p w:rsidR="00451702" w:rsidRPr="000A705E" w:rsidRDefault="00451702">
      <w:pPr>
        <w:rPr>
          <w:b/>
          <w:lang w:val="fr-FR"/>
        </w:rPr>
      </w:pPr>
    </w:p>
    <w:p w:rsidR="00451702" w:rsidRPr="000A705E" w:rsidRDefault="00451702">
      <w:pPr>
        <w:rPr>
          <w:b/>
          <w:lang w:val="fr-FR"/>
        </w:rPr>
      </w:pPr>
    </w:p>
    <w:p w:rsidR="00451702" w:rsidRPr="000A705E" w:rsidRDefault="000A705E">
      <w:pPr>
        <w:ind w:right="-60"/>
        <w:rPr>
          <w:b/>
          <w:sz w:val="24"/>
          <w:szCs w:val="24"/>
          <w:lang w:val="fr-FR"/>
        </w:rPr>
      </w:pPr>
      <w:r w:rsidRPr="000A705E">
        <w:rPr>
          <w:b/>
          <w:sz w:val="24"/>
          <w:szCs w:val="24"/>
          <w:lang w:val="fr-FR"/>
        </w:rPr>
        <w:t>Lancement du Mooc Class’Code IAI : une formation en ligne pour appréhender l’intelligence artificielle... avec intelligence !</w:t>
      </w:r>
    </w:p>
    <w:p w:rsidR="00451702" w:rsidRPr="000A705E" w:rsidRDefault="000A705E">
      <w:pPr>
        <w:jc w:val="center"/>
        <w:rPr>
          <w:rFonts w:ascii="Cambria" w:eastAsia="Cambria" w:hAnsi="Cambria" w:cs="Cambria"/>
          <w:b/>
          <w:i/>
          <w:lang w:val="fr-FR"/>
        </w:rPr>
      </w:pPr>
      <w:r w:rsidRPr="000A705E">
        <w:rPr>
          <w:rFonts w:ascii="Cambria" w:eastAsia="Cambria" w:hAnsi="Cambria" w:cs="Cambria"/>
          <w:b/>
          <w:lang w:val="fr-FR"/>
        </w:rPr>
        <w:t xml:space="preserve"> </w:t>
      </w:r>
      <w:r w:rsidRPr="000A705E">
        <w:rPr>
          <w:rFonts w:ascii="Cambria" w:eastAsia="Cambria" w:hAnsi="Cambria" w:cs="Cambria"/>
          <w:b/>
          <w:lang w:val="fr-FR"/>
        </w:rPr>
        <w:tab/>
      </w:r>
    </w:p>
    <w:p w:rsidR="00451702" w:rsidRPr="000A705E" w:rsidRDefault="000A705E">
      <w:pPr>
        <w:spacing w:before="120" w:line="240" w:lineRule="auto"/>
        <w:jc w:val="both"/>
        <w:rPr>
          <w:b/>
          <w:i/>
          <w:lang w:val="fr-FR"/>
        </w:rPr>
      </w:pPr>
      <w:r>
        <w:rPr>
          <w:b/>
          <w:i/>
          <w:lang w:val="fr-FR"/>
        </w:rPr>
        <w:t>Paris, le 06 avril</w:t>
      </w:r>
      <w:r w:rsidRPr="000A705E">
        <w:rPr>
          <w:b/>
          <w:i/>
          <w:lang w:val="fr-FR"/>
        </w:rPr>
        <w:t xml:space="preserve"> 2020 - A partir du 6 avril, Class’Code lance une formation gratuite en ligne pour permettre à toutes et tous de comprendre les enjeux de l’intelligence artificielle en fournissant aux apprenants des repères simples et actuels, sous la forme de parcours élaborés par des experts en sciences informatiques. Grâce à des contenus ludiques et variés, le Mooc permet à chacun.e de décrypter les discours sur l'intelligence artificielle, d’expérimenter, de comprendre comment cette avancée technologique s’inscrit dans l'histoire des humains et de leurs idées, et offre plus largement les moyens de s’approprier le sujet.</w:t>
      </w:r>
    </w:p>
    <w:p w:rsidR="00451702" w:rsidRPr="000A705E" w:rsidRDefault="000A705E">
      <w:pPr>
        <w:spacing w:before="120" w:line="240" w:lineRule="auto"/>
        <w:jc w:val="both"/>
        <w:rPr>
          <w:rFonts w:ascii="Cambria" w:eastAsia="Cambria" w:hAnsi="Cambria" w:cs="Cambria"/>
          <w:lang w:val="fr-FR"/>
        </w:rPr>
      </w:pPr>
      <w:r w:rsidRPr="000A705E">
        <w:rPr>
          <w:rFonts w:ascii="Cambria" w:eastAsia="Cambria" w:hAnsi="Cambria" w:cs="Cambria"/>
          <w:lang w:val="fr-FR"/>
        </w:rPr>
        <w:t>Nous vivons au temps des algorithmes et de plus en plus de tâches cognitives dites “intelligentes” tant qu’elle</w:t>
      </w:r>
      <w:r>
        <w:rPr>
          <w:rFonts w:ascii="Cambria" w:eastAsia="Cambria" w:hAnsi="Cambria" w:cs="Cambria"/>
          <w:lang w:val="fr-FR"/>
        </w:rPr>
        <w:t>s</w:t>
      </w:r>
      <w:r w:rsidRPr="000A705E">
        <w:rPr>
          <w:rFonts w:ascii="Cambria" w:eastAsia="Cambria" w:hAnsi="Cambria" w:cs="Cambria"/>
          <w:lang w:val="fr-FR"/>
        </w:rPr>
        <w:t xml:space="preserve"> sont exécutées par un humain sont aujourd’hui mécanisées et exécutées par des machines. Tous les aspects de la société - économiques, sociétaux, culturels - sont profondément impactés par les avancées informatiques et cette situation prend une tournure nouvelle avec l'arrivée de ce qui est désigné sous le terme d'</w:t>
      </w:r>
      <w:r w:rsidRPr="000A705E">
        <w:rPr>
          <w:rFonts w:ascii="Cambria" w:eastAsia="Cambria" w:hAnsi="Cambria" w:cs="Cambria"/>
          <w:i/>
          <w:lang w:val="fr-FR"/>
        </w:rPr>
        <w:t>intelligence artificielle</w:t>
      </w:r>
      <w:r w:rsidRPr="000A705E">
        <w:rPr>
          <w:rFonts w:ascii="Cambria" w:eastAsia="Cambria" w:hAnsi="Cambria" w:cs="Cambria"/>
          <w:lang w:val="fr-FR"/>
        </w:rPr>
        <w:t xml:space="preserve">. </w:t>
      </w:r>
    </w:p>
    <w:p w:rsidR="00451702" w:rsidRPr="000A705E" w:rsidRDefault="000A705E">
      <w:pPr>
        <w:spacing w:before="120" w:line="240" w:lineRule="auto"/>
        <w:jc w:val="both"/>
        <w:rPr>
          <w:b/>
          <w:sz w:val="24"/>
          <w:szCs w:val="24"/>
          <w:lang w:val="fr-FR"/>
        </w:rPr>
      </w:pPr>
      <w:r w:rsidRPr="000A705E">
        <w:rPr>
          <w:b/>
          <w:sz w:val="24"/>
          <w:szCs w:val="24"/>
          <w:lang w:val="fr-FR"/>
        </w:rPr>
        <w:t>L’IA, au-delà des idées reçues</w:t>
      </w:r>
    </w:p>
    <w:p w:rsidR="00451702" w:rsidRPr="000A705E" w:rsidRDefault="000A705E">
      <w:pPr>
        <w:spacing w:before="120" w:line="240" w:lineRule="auto"/>
        <w:jc w:val="both"/>
        <w:rPr>
          <w:rFonts w:ascii="Cambria" w:eastAsia="Cambria" w:hAnsi="Cambria" w:cs="Cambria"/>
          <w:lang w:val="fr-FR"/>
        </w:rPr>
      </w:pPr>
      <w:r w:rsidRPr="000A705E">
        <w:rPr>
          <w:rFonts w:ascii="Cambria" w:eastAsia="Cambria" w:hAnsi="Cambria" w:cs="Cambria"/>
          <w:lang w:val="fr-FR"/>
        </w:rPr>
        <w:t xml:space="preserve">Employée par tous désormais, la notion d’“intelligence artificielle” nécessite pourtant d’être expliquée et comprise afin de pouvoir s’en emparer et de prendre le recul nécessaire face aux idées reçues qui sont nombreuses. Tout en rappelant que l’intelligence artificielle doit être au service de l’humain, </w:t>
      </w:r>
      <w:hyperlink r:id="rId6">
        <w:r w:rsidRPr="000A705E">
          <w:rPr>
            <w:rFonts w:ascii="Cambria" w:eastAsia="Cambria" w:hAnsi="Cambria" w:cs="Cambria"/>
            <w:color w:val="1155CC"/>
            <w:u w:val="single"/>
            <w:lang w:val="fr-FR"/>
          </w:rPr>
          <w:t>le nouveau Mooc de Class’Code</w:t>
        </w:r>
      </w:hyperlink>
      <w:r w:rsidRPr="000A705E">
        <w:rPr>
          <w:rFonts w:ascii="Cambria" w:eastAsia="Cambria" w:hAnsi="Cambria" w:cs="Cambria"/>
          <w:lang w:val="fr-FR"/>
        </w:rPr>
        <w:t xml:space="preserve"> décrypte par étapes les enjeux et les leviers technologiques liés à l’IA. La formation s’attache à présenter les principes de l’apprentissage machine (machine learning) et définit des mots techniques comme l’apprentissage profond (deep learning), ainsi que la place cruciale de la maîtrise des jeux de données. Il s’agit par l’intermédiaire d’un cours interactif de partager une culture minimale sur le sujet, afin de choisir librement et de maîtriser l’usage de ces technologies. </w:t>
      </w:r>
    </w:p>
    <w:p w:rsidR="00451702" w:rsidRPr="000A705E" w:rsidRDefault="000A705E">
      <w:pPr>
        <w:spacing w:before="120" w:line="240" w:lineRule="auto"/>
        <w:jc w:val="both"/>
        <w:rPr>
          <w:b/>
          <w:sz w:val="24"/>
          <w:szCs w:val="24"/>
          <w:lang w:val="fr-FR"/>
        </w:rPr>
      </w:pPr>
      <w:r w:rsidRPr="000A705E">
        <w:rPr>
          <w:b/>
          <w:sz w:val="24"/>
          <w:szCs w:val="24"/>
          <w:lang w:val="fr-FR"/>
        </w:rPr>
        <w:t>Une mini-formation citoyenne qui démystifie sans simplifier</w:t>
      </w:r>
    </w:p>
    <w:p w:rsidR="00451702" w:rsidRPr="000A705E" w:rsidRDefault="000A705E">
      <w:pPr>
        <w:spacing w:before="120" w:line="240" w:lineRule="auto"/>
        <w:jc w:val="both"/>
        <w:rPr>
          <w:rFonts w:ascii="Cambria" w:eastAsia="Cambria" w:hAnsi="Cambria" w:cs="Cambria"/>
          <w:lang w:val="fr-FR"/>
        </w:rPr>
      </w:pPr>
      <w:r w:rsidRPr="000A705E">
        <w:rPr>
          <w:rFonts w:ascii="Cambria" w:eastAsia="Cambria" w:hAnsi="Cambria" w:cs="Cambria"/>
          <w:lang w:val="fr-FR"/>
        </w:rPr>
        <w:t xml:space="preserve">Si l’objectif de la formation est bien de toucher un public large non néophyte par des biais ludiques, des vidéos et des activités, l’équipe d’experts* ayant élaboré les cours met avant tout l’accent sur des savoirs rigoureux permettant à l’apprenant.e de se forger une vision correcte et opérationnelle sur l’IA et ses enjeux. </w:t>
      </w:r>
    </w:p>
    <w:p w:rsidR="00743CA5" w:rsidRDefault="00743CA5" w:rsidP="00743CA5">
      <w:pPr>
        <w:rPr>
          <w:rFonts w:ascii="Cambria" w:eastAsia="Cambria" w:hAnsi="Cambria" w:cs="Cambria"/>
          <w:lang w:val="fr-FR"/>
        </w:rPr>
      </w:pPr>
    </w:p>
    <w:p w:rsidR="00743CA5" w:rsidRPr="00743CA5" w:rsidRDefault="00743CA5" w:rsidP="00743CA5">
      <w:pPr>
        <w:rPr>
          <w:rFonts w:ascii="Cambria" w:eastAsia="Cambria" w:hAnsi="Cambria" w:cs="Cambria"/>
          <w:lang w:val="fr-FR"/>
        </w:rPr>
      </w:pPr>
      <w:r w:rsidRPr="00743CA5">
        <w:rPr>
          <w:rFonts w:ascii="Cambria" w:eastAsia="Cambria" w:hAnsi="Cambria" w:cs="Cambria"/>
          <w:lang w:val="fr-FR"/>
        </w:rPr>
        <w:t>Disponible sur la plateforme FUN MOOC, co-réalisée par Inria Learning-Lab, la formation Class’Code IAI hébergée par Inria est ouverte à tous dès le 6 avril.</w:t>
      </w:r>
    </w:p>
    <w:p w:rsidR="00451702" w:rsidRPr="000A705E" w:rsidRDefault="00451702">
      <w:pPr>
        <w:spacing w:before="120" w:line="240" w:lineRule="auto"/>
        <w:jc w:val="both"/>
        <w:rPr>
          <w:rFonts w:ascii="Cambria" w:eastAsia="Cambria" w:hAnsi="Cambria" w:cs="Cambria"/>
          <w:lang w:val="fr-FR"/>
        </w:rPr>
      </w:pPr>
    </w:p>
    <w:p w:rsidR="00451702" w:rsidRPr="000A705E" w:rsidRDefault="000A705E">
      <w:pPr>
        <w:rPr>
          <w:sz w:val="24"/>
          <w:szCs w:val="24"/>
          <w:lang w:val="fr-FR"/>
        </w:rPr>
      </w:pPr>
      <w:bookmarkStart w:id="0" w:name="_GoBack"/>
      <w:bookmarkEnd w:id="0"/>
      <w:r w:rsidRPr="000A705E">
        <w:rPr>
          <w:b/>
          <w:sz w:val="24"/>
          <w:szCs w:val="24"/>
          <w:lang w:val="fr-FR"/>
        </w:rPr>
        <w:t>À propos de Class’Code</w:t>
      </w:r>
      <w:r w:rsidRPr="000A705E">
        <w:rPr>
          <w:sz w:val="24"/>
          <w:szCs w:val="24"/>
          <w:lang w:val="fr-FR"/>
        </w:rPr>
        <w:t xml:space="preserve"> </w:t>
      </w:r>
    </w:p>
    <w:p w:rsidR="00451702" w:rsidRPr="000A705E" w:rsidRDefault="000A705E">
      <w:pPr>
        <w:spacing w:line="240" w:lineRule="auto"/>
        <w:rPr>
          <w:sz w:val="16"/>
          <w:szCs w:val="16"/>
          <w:lang w:val="fr-FR"/>
        </w:rPr>
      </w:pPr>
      <w:r w:rsidRPr="000A705E">
        <w:rPr>
          <w:sz w:val="16"/>
          <w:szCs w:val="16"/>
          <w:lang w:val="fr-FR"/>
        </w:rPr>
        <w:t xml:space="preserve"> </w:t>
      </w:r>
    </w:p>
    <w:p w:rsidR="00451702" w:rsidRPr="000A705E" w:rsidRDefault="000A705E">
      <w:pPr>
        <w:widowControl w:val="0"/>
        <w:spacing w:line="240" w:lineRule="auto"/>
        <w:jc w:val="both"/>
        <w:rPr>
          <w:rFonts w:ascii="Cambria" w:eastAsia="Cambria" w:hAnsi="Cambria" w:cs="Cambria"/>
          <w:color w:val="00000A"/>
          <w:lang w:val="fr-FR"/>
        </w:rPr>
      </w:pPr>
      <w:r w:rsidRPr="000A705E">
        <w:rPr>
          <w:rFonts w:ascii="Cambria" w:eastAsia="Cambria" w:hAnsi="Cambria" w:cs="Cambria"/>
          <w:color w:val="00000A"/>
          <w:lang w:val="fr-FR"/>
        </w:rPr>
        <w:t xml:space="preserve">Class’Code, projet initialement créé en 2014 dans le cadre du PIA, est une association d’utilité publique qui a pour ambition de répondre au besoin de formation et d’accompagnement de la population en matière d’éducation à la pensée informatique dans un contexte où la France affiche un certain retard face au enjeux numériques. Class’Code regroupe des acteurs privés et publics, et coordonne des actions destinées au grand public sur tout le territoire tout en produisant des </w:t>
      </w:r>
      <w:r w:rsidRPr="000A705E">
        <w:rPr>
          <w:rFonts w:ascii="Cambria" w:eastAsia="Cambria" w:hAnsi="Cambria" w:cs="Cambria"/>
          <w:color w:val="00000A"/>
          <w:lang w:val="fr-FR"/>
        </w:rPr>
        <w:lastRenderedPageBreak/>
        <w:t>ressources innovantes accessibles à tous, en ligne et gratuitement.</w:t>
      </w:r>
    </w:p>
    <w:p w:rsidR="00451702" w:rsidRPr="000A705E" w:rsidRDefault="00451702">
      <w:pPr>
        <w:widowControl w:val="0"/>
        <w:spacing w:line="240" w:lineRule="auto"/>
        <w:jc w:val="both"/>
        <w:rPr>
          <w:rFonts w:ascii="Cambria" w:eastAsia="Cambria" w:hAnsi="Cambria" w:cs="Cambria"/>
          <w:color w:val="00000A"/>
          <w:lang w:val="fr-FR"/>
        </w:rPr>
      </w:pPr>
    </w:p>
    <w:p w:rsidR="00451702" w:rsidRPr="000A705E" w:rsidRDefault="000A705E">
      <w:pPr>
        <w:spacing w:line="240" w:lineRule="auto"/>
        <w:jc w:val="both"/>
        <w:rPr>
          <w:b/>
          <w:sz w:val="24"/>
          <w:szCs w:val="24"/>
          <w:lang w:val="fr-FR"/>
        </w:rPr>
      </w:pPr>
      <w:r w:rsidRPr="000A705E">
        <w:rPr>
          <w:b/>
          <w:sz w:val="24"/>
          <w:szCs w:val="24"/>
          <w:lang w:val="fr-FR"/>
        </w:rPr>
        <w:t>A propos d’Inria </w:t>
      </w:r>
    </w:p>
    <w:p w:rsidR="00451702" w:rsidRPr="000A705E" w:rsidRDefault="00451702">
      <w:pPr>
        <w:spacing w:line="240" w:lineRule="auto"/>
        <w:jc w:val="both"/>
        <w:rPr>
          <w:rFonts w:ascii="Tahoma" w:eastAsia="Tahoma" w:hAnsi="Tahoma" w:cs="Tahoma"/>
          <w:b/>
          <w:lang w:val="fr-FR"/>
        </w:rPr>
      </w:pPr>
    </w:p>
    <w:p w:rsidR="00451702" w:rsidRPr="000A705E" w:rsidRDefault="000A705E">
      <w:pPr>
        <w:spacing w:line="240" w:lineRule="auto"/>
        <w:jc w:val="both"/>
        <w:rPr>
          <w:rFonts w:ascii="Cambria" w:eastAsia="Cambria" w:hAnsi="Cambria" w:cs="Cambria"/>
          <w:color w:val="00000A"/>
          <w:lang w:val="fr-FR"/>
        </w:rPr>
      </w:pPr>
      <w:r w:rsidRPr="000A705E">
        <w:rPr>
          <w:rFonts w:ascii="Cambria" w:eastAsia="Cambria" w:hAnsi="Cambria" w:cs="Cambria"/>
          <w:lang w:val="fr-FR"/>
        </w:rPr>
        <w:t>Inria est l’institut national de recherche en sciences et technologies du numérique. La recherche de rang mondial et l’innovation technologique constituent son ADN, avec pour ambition de faire émerger et d’accompagner des projets scientifiques et entrepreneuriaux créateurs de valeur pour la France dans la dynamique européenne.</w:t>
      </w:r>
    </w:p>
    <w:p w:rsidR="00451702" w:rsidRPr="000A705E" w:rsidRDefault="00451702">
      <w:pPr>
        <w:spacing w:line="240" w:lineRule="auto"/>
        <w:jc w:val="both"/>
        <w:rPr>
          <w:lang w:val="fr-FR"/>
        </w:rPr>
      </w:pPr>
    </w:p>
    <w:p w:rsidR="00451702" w:rsidRDefault="000A705E">
      <w:pPr>
        <w:jc w:val="both"/>
        <w:rPr>
          <w:rFonts w:ascii="Cambria" w:eastAsia="Cambria" w:hAnsi="Cambria" w:cs="Cambria"/>
          <w:lang w:val="fr-FR"/>
        </w:rPr>
      </w:pPr>
      <w:r w:rsidRPr="000A705E">
        <w:rPr>
          <w:rFonts w:ascii="Cambria" w:eastAsia="Cambria" w:hAnsi="Cambria" w:cs="Cambria"/>
          <w:lang w:val="fr-FR"/>
        </w:rPr>
        <w:t>*Une co-production</w:t>
      </w:r>
      <w:hyperlink r:id="rId7">
        <w:r w:rsidRPr="000A705E">
          <w:rPr>
            <w:rFonts w:ascii="Cambria" w:eastAsia="Cambria" w:hAnsi="Cambria" w:cs="Cambria"/>
            <w:lang w:val="fr-FR"/>
          </w:rPr>
          <w:t xml:space="preserve"> </w:t>
        </w:r>
      </w:hyperlink>
      <w:hyperlink r:id="rId8">
        <w:r w:rsidRPr="000A705E">
          <w:rPr>
            <w:rFonts w:ascii="Cambria" w:eastAsia="Cambria" w:hAnsi="Cambria" w:cs="Cambria"/>
            <w:color w:val="1155CC"/>
            <w:u w:val="single"/>
            <w:lang w:val="fr-FR"/>
          </w:rPr>
          <w:t>Class’Code</w:t>
        </w:r>
      </w:hyperlink>
      <w:r w:rsidRPr="000A705E">
        <w:rPr>
          <w:lang w:val="fr-FR"/>
        </w:rPr>
        <w:t xml:space="preserve"> </w:t>
      </w:r>
      <w:r w:rsidRPr="000A705E">
        <w:rPr>
          <w:rFonts w:ascii="Cambria" w:eastAsia="Cambria" w:hAnsi="Cambria" w:cs="Cambria"/>
          <w:lang w:val="fr-FR"/>
        </w:rPr>
        <w:t>avec</w:t>
      </w:r>
      <w:r w:rsidRPr="000A705E">
        <w:rPr>
          <w:lang w:val="fr-FR"/>
        </w:rPr>
        <w:t xml:space="preserve"> </w:t>
      </w:r>
      <w:hyperlink r:id="rId9">
        <w:r w:rsidRPr="000A705E">
          <w:rPr>
            <w:rFonts w:ascii="Cambria" w:eastAsia="Cambria" w:hAnsi="Cambria" w:cs="Cambria"/>
            <w:color w:val="1155CC"/>
            <w:u w:val="single"/>
            <w:lang w:val="fr-FR"/>
          </w:rPr>
          <w:t>Inria</w:t>
        </w:r>
      </w:hyperlink>
      <w:r w:rsidRPr="000A705E">
        <w:rPr>
          <w:rFonts w:ascii="Cambria" w:eastAsia="Cambria" w:hAnsi="Cambria" w:cs="Cambria"/>
          <w:lang w:val="fr-FR"/>
        </w:rPr>
        <w:t>,</w:t>
      </w:r>
      <w:hyperlink r:id="rId10">
        <w:r w:rsidRPr="000A705E">
          <w:rPr>
            <w:rFonts w:ascii="Cambria" w:eastAsia="Cambria" w:hAnsi="Cambria" w:cs="Cambria"/>
            <w:lang w:val="fr-FR"/>
          </w:rPr>
          <w:t xml:space="preserve"> </w:t>
        </w:r>
      </w:hyperlink>
      <w:hyperlink r:id="rId11">
        <w:r w:rsidRPr="000A705E">
          <w:rPr>
            <w:rFonts w:ascii="Cambria" w:eastAsia="Cambria" w:hAnsi="Cambria" w:cs="Cambria"/>
            <w:color w:val="1155CC"/>
            <w:u w:val="single"/>
            <w:lang w:val="fr-FR"/>
          </w:rPr>
          <w:t>Magic Makers</w:t>
        </w:r>
      </w:hyperlink>
      <w:r w:rsidRPr="000A705E">
        <w:rPr>
          <w:rFonts w:ascii="Cambria" w:eastAsia="Cambria" w:hAnsi="Cambria" w:cs="Cambria"/>
          <w:lang w:val="fr-FR"/>
        </w:rPr>
        <w:t xml:space="preserve"> ,</w:t>
      </w:r>
      <w:hyperlink r:id="rId12">
        <w:r w:rsidRPr="000A705E">
          <w:rPr>
            <w:rFonts w:ascii="Cambria" w:eastAsia="Cambria" w:hAnsi="Cambria" w:cs="Cambria"/>
            <w:lang w:val="fr-FR"/>
          </w:rPr>
          <w:t xml:space="preserve"> </w:t>
        </w:r>
      </w:hyperlink>
      <w:hyperlink r:id="rId13">
        <w:r w:rsidRPr="000A705E">
          <w:rPr>
            <w:rFonts w:ascii="Cambria" w:eastAsia="Cambria" w:hAnsi="Cambria" w:cs="Cambria"/>
            <w:color w:val="1155CC"/>
            <w:u w:val="single"/>
            <w:lang w:val="fr-FR"/>
          </w:rPr>
          <w:t>S24B interactive</w:t>
        </w:r>
      </w:hyperlink>
      <w:r w:rsidRPr="000A705E">
        <w:rPr>
          <w:rFonts w:ascii="Cambria" w:eastAsia="Cambria" w:hAnsi="Cambria" w:cs="Cambria"/>
          <w:lang w:val="fr-FR"/>
        </w:rPr>
        <w:t>, la participation de</w:t>
      </w:r>
      <w:hyperlink r:id="rId14">
        <w:r w:rsidRPr="000A705E">
          <w:rPr>
            <w:rFonts w:ascii="Cambria" w:eastAsia="Cambria" w:hAnsi="Cambria" w:cs="Cambria"/>
            <w:lang w:val="fr-FR"/>
          </w:rPr>
          <w:t xml:space="preserve"> </w:t>
        </w:r>
      </w:hyperlink>
      <w:hyperlink r:id="rId15">
        <w:r w:rsidRPr="000A705E">
          <w:rPr>
            <w:rFonts w:ascii="Cambria" w:eastAsia="Cambria" w:hAnsi="Cambria" w:cs="Cambria"/>
            <w:color w:val="1155CC"/>
            <w:u w:val="single"/>
            <w:lang w:val="fr-FR"/>
          </w:rPr>
          <w:t>4 minutes 34</w:t>
        </w:r>
      </w:hyperlink>
      <w:r w:rsidRPr="000A705E">
        <w:rPr>
          <w:rFonts w:ascii="Cambria" w:eastAsia="Cambria" w:hAnsi="Cambria" w:cs="Cambria"/>
          <w:lang w:val="fr-FR"/>
        </w:rPr>
        <w:t>,</w:t>
      </w:r>
      <w:hyperlink r:id="rId16">
        <w:r w:rsidRPr="000A705E">
          <w:rPr>
            <w:rFonts w:ascii="Cambria" w:eastAsia="Cambria" w:hAnsi="Cambria" w:cs="Cambria"/>
            <w:lang w:val="fr-FR"/>
          </w:rPr>
          <w:t xml:space="preserve"> </w:t>
        </w:r>
      </w:hyperlink>
      <w:hyperlink r:id="rId17">
        <w:r w:rsidRPr="000A705E">
          <w:rPr>
            <w:rFonts w:ascii="Cambria" w:eastAsia="Cambria" w:hAnsi="Cambria" w:cs="Cambria"/>
            <w:color w:val="1155CC"/>
            <w:u w:val="single"/>
            <w:lang w:val="fr-FR"/>
          </w:rPr>
          <w:t>Data Bingo</w:t>
        </w:r>
      </w:hyperlink>
      <w:r w:rsidRPr="000A705E">
        <w:rPr>
          <w:rFonts w:ascii="Cambria" w:eastAsia="Cambria" w:hAnsi="Cambria" w:cs="Cambria"/>
          <w:lang w:val="fr-FR"/>
        </w:rPr>
        <w:t>,</w:t>
      </w:r>
      <w:hyperlink r:id="rId18">
        <w:r w:rsidRPr="000A705E">
          <w:rPr>
            <w:rFonts w:ascii="Cambria" w:eastAsia="Cambria" w:hAnsi="Cambria" w:cs="Cambria"/>
            <w:lang w:val="fr-FR"/>
          </w:rPr>
          <w:t xml:space="preserve"> </w:t>
        </w:r>
      </w:hyperlink>
      <w:hyperlink r:id="rId19">
        <w:r w:rsidRPr="000A705E">
          <w:rPr>
            <w:rFonts w:ascii="Cambria" w:eastAsia="Cambria" w:hAnsi="Cambria" w:cs="Cambria"/>
            <w:color w:val="1155CC"/>
            <w:u w:val="single"/>
            <w:lang w:val="fr-FR"/>
          </w:rPr>
          <w:t>Université de Nantes</w:t>
        </w:r>
      </w:hyperlink>
      <w:r w:rsidRPr="000A705E">
        <w:rPr>
          <w:rFonts w:ascii="Cambria" w:eastAsia="Cambria" w:hAnsi="Cambria" w:cs="Cambria"/>
          <w:lang w:val="fr-FR"/>
        </w:rPr>
        <w:t>,</w:t>
      </w:r>
      <w:hyperlink r:id="rId20">
        <w:r w:rsidRPr="000A705E">
          <w:rPr>
            <w:rFonts w:ascii="Cambria" w:eastAsia="Cambria" w:hAnsi="Cambria" w:cs="Cambria"/>
            <w:lang w:val="fr-FR"/>
          </w:rPr>
          <w:t xml:space="preserve"> </w:t>
        </w:r>
      </w:hyperlink>
      <w:hyperlink r:id="rId21">
        <w:r w:rsidRPr="000A705E">
          <w:rPr>
            <w:rFonts w:ascii="Cambria" w:eastAsia="Cambria" w:hAnsi="Cambria" w:cs="Cambria"/>
            <w:color w:val="1155CC"/>
            <w:u w:val="single"/>
            <w:lang w:val="fr-FR"/>
          </w:rPr>
          <w:t>La Compagnie du Code</w:t>
        </w:r>
      </w:hyperlink>
      <w:r w:rsidRPr="000A705E">
        <w:rPr>
          <w:rFonts w:ascii="Cambria" w:eastAsia="Cambria" w:hAnsi="Cambria" w:cs="Cambria"/>
          <w:lang w:val="fr-FR"/>
        </w:rPr>
        <w:t xml:space="preserve"> et de</w:t>
      </w:r>
      <w:hyperlink r:id="rId22">
        <w:r w:rsidRPr="000A705E">
          <w:rPr>
            <w:rFonts w:ascii="Cambria" w:eastAsia="Cambria" w:hAnsi="Cambria" w:cs="Cambria"/>
            <w:lang w:val="fr-FR"/>
          </w:rPr>
          <w:t xml:space="preserve"> </w:t>
        </w:r>
      </w:hyperlink>
      <w:hyperlink r:id="rId23">
        <w:r w:rsidRPr="000A705E">
          <w:rPr>
            <w:rFonts w:ascii="Cambria" w:eastAsia="Cambria" w:hAnsi="Cambria" w:cs="Cambria"/>
            <w:color w:val="1155CC"/>
            <w:u w:val="single"/>
            <w:lang w:val="fr-FR"/>
          </w:rPr>
          <w:t>La Ligue de l’enseignement</w:t>
        </w:r>
      </w:hyperlink>
      <w:r w:rsidRPr="000A705E">
        <w:rPr>
          <w:rFonts w:ascii="Cambria" w:eastAsia="Cambria" w:hAnsi="Cambria" w:cs="Cambria"/>
          <w:lang w:val="fr-FR"/>
        </w:rPr>
        <w:t>, et avec le soutien du</w:t>
      </w:r>
      <w:hyperlink r:id="rId24">
        <w:r w:rsidRPr="000A705E">
          <w:rPr>
            <w:rFonts w:ascii="Cambria" w:eastAsia="Cambria" w:hAnsi="Cambria" w:cs="Cambria"/>
            <w:lang w:val="fr-FR"/>
          </w:rPr>
          <w:t xml:space="preserve"> </w:t>
        </w:r>
      </w:hyperlink>
      <w:hyperlink r:id="rId25">
        <w:r w:rsidRPr="000A705E">
          <w:rPr>
            <w:rFonts w:ascii="Cambria" w:eastAsia="Cambria" w:hAnsi="Cambria" w:cs="Cambria"/>
            <w:color w:val="1155CC"/>
            <w:u w:val="single"/>
            <w:lang w:val="fr-FR"/>
          </w:rPr>
          <w:t>Ministère de l’Éducation nationale et de la Jeunesse</w:t>
        </w:r>
      </w:hyperlink>
      <w:r w:rsidRPr="000A705E">
        <w:rPr>
          <w:rFonts w:ascii="Cambria" w:eastAsia="Cambria" w:hAnsi="Cambria" w:cs="Cambria"/>
          <w:lang w:val="fr-FR"/>
        </w:rPr>
        <w:t>,</w:t>
      </w:r>
      <w:hyperlink r:id="rId26">
        <w:r w:rsidRPr="000A705E">
          <w:rPr>
            <w:rFonts w:ascii="Cambria" w:eastAsia="Cambria" w:hAnsi="Cambria" w:cs="Cambria"/>
            <w:lang w:val="fr-FR"/>
          </w:rPr>
          <w:t xml:space="preserve"> </w:t>
        </w:r>
      </w:hyperlink>
      <w:hyperlink r:id="rId27">
        <w:r w:rsidRPr="000A705E">
          <w:rPr>
            <w:rFonts w:ascii="Cambria" w:eastAsia="Cambria" w:hAnsi="Cambria" w:cs="Cambria"/>
            <w:color w:val="1155CC"/>
            <w:u w:val="single"/>
            <w:lang w:val="fr-FR"/>
          </w:rPr>
          <w:t>UNIT</w:t>
        </w:r>
      </w:hyperlink>
      <w:r w:rsidRPr="000A705E">
        <w:rPr>
          <w:rFonts w:ascii="Cambria" w:eastAsia="Cambria" w:hAnsi="Cambria" w:cs="Cambria"/>
          <w:lang w:val="fr-FR"/>
        </w:rPr>
        <w:t>,</w:t>
      </w:r>
      <w:hyperlink r:id="rId28">
        <w:r w:rsidRPr="000A705E">
          <w:rPr>
            <w:rFonts w:ascii="Cambria" w:eastAsia="Cambria" w:hAnsi="Cambria" w:cs="Cambria"/>
            <w:lang w:val="fr-FR"/>
          </w:rPr>
          <w:t xml:space="preserve"> </w:t>
        </w:r>
      </w:hyperlink>
      <w:hyperlink r:id="rId29">
        <w:r w:rsidRPr="000A705E">
          <w:rPr>
            <w:rFonts w:ascii="Cambria" w:eastAsia="Cambria" w:hAnsi="Cambria" w:cs="Cambria"/>
            <w:color w:val="1155CC"/>
            <w:u w:val="single"/>
            <w:lang w:val="fr-FR"/>
          </w:rPr>
          <w:t>Educazur</w:t>
        </w:r>
      </w:hyperlink>
      <w:r w:rsidRPr="000A705E">
        <w:rPr>
          <w:rFonts w:ascii="Cambria" w:eastAsia="Cambria" w:hAnsi="Cambria" w:cs="Cambria"/>
          <w:lang w:val="fr-FR"/>
        </w:rPr>
        <w:t xml:space="preserve"> et</w:t>
      </w:r>
      <w:hyperlink r:id="rId30">
        <w:r w:rsidRPr="000A705E">
          <w:rPr>
            <w:rFonts w:ascii="Cambria" w:eastAsia="Cambria" w:hAnsi="Cambria" w:cs="Cambria"/>
            <w:lang w:val="fr-FR"/>
          </w:rPr>
          <w:t xml:space="preserve"> </w:t>
        </w:r>
      </w:hyperlink>
      <w:hyperlink r:id="rId31">
        <w:r w:rsidRPr="000A705E">
          <w:rPr>
            <w:rFonts w:ascii="Cambria" w:eastAsia="Cambria" w:hAnsi="Cambria" w:cs="Cambria"/>
            <w:color w:val="1155CC"/>
            <w:u w:val="single"/>
            <w:lang w:val="fr-FR"/>
          </w:rPr>
          <w:t>leblob.fr</w:t>
        </w:r>
      </w:hyperlink>
      <w:r w:rsidRPr="000A705E">
        <w:rPr>
          <w:rFonts w:ascii="Cambria" w:eastAsia="Cambria" w:hAnsi="Cambria" w:cs="Cambria"/>
          <w:lang w:val="fr-FR"/>
        </w:rPr>
        <w:t>, avec le concours et la collaboration de :</w:t>
      </w:r>
    </w:p>
    <w:p w:rsidR="000A705E" w:rsidRPr="000A705E" w:rsidRDefault="000A705E">
      <w:pPr>
        <w:jc w:val="both"/>
        <w:rPr>
          <w:rFonts w:ascii="Cambria" w:eastAsia="Cambria" w:hAnsi="Cambria" w:cs="Cambria"/>
          <w:lang w:val="fr-FR"/>
        </w:rPr>
      </w:pPr>
    </w:p>
    <w:p w:rsidR="00451702" w:rsidRDefault="000A705E">
      <w:pPr>
        <w:jc w:val="center"/>
        <w:rPr>
          <w:sz w:val="20"/>
          <w:szCs w:val="20"/>
        </w:rPr>
      </w:pPr>
      <w:r>
        <w:rPr>
          <w:noProof/>
          <w:sz w:val="16"/>
          <w:szCs w:val="16"/>
          <w:lang w:val="fr-FR"/>
        </w:rPr>
        <w:drawing>
          <wp:inline distT="114300" distB="114300" distL="114300" distR="114300">
            <wp:extent cx="5948363" cy="1695332"/>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2"/>
                    <a:srcRect r="2657"/>
                    <a:stretch>
                      <a:fillRect/>
                    </a:stretch>
                  </pic:blipFill>
                  <pic:spPr>
                    <a:xfrm>
                      <a:off x="0" y="0"/>
                      <a:ext cx="5948363" cy="1695332"/>
                    </a:xfrm>
                    <a:prstGeom prst="rect">
                      <a:avLst/>
                    </a:prstGeom>
                    <a:ln/>
                  </pic:spPr>
                </pic:pic>
              </a:graphicData>
            </a:graphic>
          </wp:inline>
        </w:drawing>
      </w:r>
    </w:p>
    <w:p w:rsidR="00451702" w:rsidRDefault="00451702">
      <w:pPr>
        <w:rPr>
          <w:b/>
          <w:sz w:val="36"/>
          <w:szCs w:val="36"/>
        </w:rPr>
      </w:pPr>
    </w:p>
    <w:p w:rsidR="00451702" w:rsidRDefault="00451702">
      <w:pPr>
        <w:rPr>
          <w:b/>
          <w:sz w:val="36"/>
          <w:szCs w:val="36"/>
        </w:rPr>
      </w:pPr>
    </w:p>
    <w:p w:rsidR="00451702" w:rsidRDefault="00992586">
      <w:pPr>
        <w:rPr>
          <w:b/>
          <w:sz w:val="36"/>
          <w:szCs w:val="36"/>
        </w:rPr>
      </w:pPr>
      <w:r>
        <w:pict>
          <v:rect id="_x0000_i1025" style="width:0;height:1.5pt" o:hralign="center" o:hrstd="t" o:hr="t" fillcolor="#a0a0a0" stroked="f"/>
        </w:pict>
      </w:r>
    </w:p>
    <w:p w:rsidR="00451702" w:rsidRDefault="00451702">
      <w:pPr>
        <w:rPr>
          <w:b/>
          <w:sz w:val="36"/>
          <w:szCs w:val="36"/>
        </w:rPr>
      </w:pPr>
    </w:p>
    <w:p w:rsidR="00451702" w:rsidRPr="000A705E" w:rsidRDefault="000A705E">
      <w:pPr>
        <w:spacing w:line="240" w:lineRule="auto"/>
        <w:rPr>
          <w:sz w:val="16"/>
          <w:szCs w:val="16"/>
          <w:lang w:val="fr-FR"/>
        </w:rPr>
      </w:pPr>
      <w:r w:rsidRPr="000A705E">
        <w:rPr>
          <w:sz w:val="16"/>
          <w:szCs w:val="16"/>
          <w:lang w:val="fr-FR"/>
        </w:rPr>
        <w:t xml:space="preserve">Contacts presse : </w:t>
      </w:r>
    </w:p>
    <w:p w:rsidR="00451702" w:rsidRPr="000A705E" w:rsidRDefault="000A705E">
      <w:pPr>
        <w:rPr>
          <w:b/>
          <w:sz w:val="36"/>
          <w:szCs w:val="36"/>
          <w:lang w:val="fr-FR"/>
        </w:rPr>
      </w:pPr>
      <w:r w:rsidRPr="000A705E">
        <w:rPr>
          <w:sz w:val="16"/>
          <w:szCs w:val="16"/>
          <w:lang w:val="fr-FR"/>
        </w:rPr>
        <w:t>Contact Class’Code : Emilie Peinchaud – Chargée de communication – emiliepeinchaud@gmail.com</w:t>
      </w:r>
    </w:p>
    <w:p w:rsidR="00451702" w:rsidRPr="000A705E" w:rsidRDefault="00451702">
      <w:pPr>
        <w:spacing w:before="120" w:line="240" w:lineRule="auto"/>
        <w:jc w:val="both"/>
        <w:rPr>
          <w:lang w:val="fr-FR"/>
        </w:rPr>
      </w:pPr>
    </w:p>
    <w:p w:rsidR="00451702" w:rsidRPr="000A705E" w:rsidRDefault="00451702">
      <w:pPr>
        <w:spacing w:before="120" w:line="240" w:lineRule="auto"/>
        <w:jc w:val="both"/>
        <w:rPr>
          <w:sz w:val="24"/>
          <w:szCs w:val="24"/>
          <w:lang w:val="fr-FR"/>
        </w:rPr>
      </w:pPr>
    </w:p>
    <w:sectPr w:rsidR="00451702" w:rsidRPr="000A705E">
      <w:headerReference w:type="default" r:id="rId33"/>
      <w:footerReference w:type="default" r:id="rId34"/>
      <w:pgSz w:w="11906" w:h="16838"/>
      <w:pgMar w:top="566" w:right="1440" w:bottom="56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2586" w:rsidRDefault="00992586">
      <w:pPr>
        <w:spacing w:line="240" w:lineRule="auto"/>
      </w:pPr>
      <w:r>
        <w:separator/>
      </w:r>
    </w:p>
  </w:endnote>
  <w:endnote w:type="continuationSeparator" w:id="0">
    <w:p w:rsidR="00992586" w:rsidRDefault="009925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702" w:rsidRDefault="00451702">
    <w:pPr>
      <w:spacing w:line="240" w:lineRule="auto"/>
      <w:rPr>
        <w:sz w:val="16"/>
        <w:szCs w:val="16"/>
      </w:rPr>
    </w:pPr>
  </w:p>
  <w:p w:rsidR="00451702" w:rsidRDefault="00451702">
    <w:pPr>
      <w:rPr>
        <w:sz w:val="24"/>
        <w:szCs w:val="24"/>
      </w:rPr>
    </w:pPr>
  </w:p>
  <w:p w:rsidR="00451702" w:rsidRDefault="00451702">
    <w:pPr>
      <w:ind w:left="720"/>
      <w:jc w:val="right"/>
      <w:rPr>
        <w:sz w:val="24"/>
        <w:szCs w:val="24"/>
      </w:rPr>
    </w:pPr>
  </w:p>
  <w:p w:rsidR="00451702" w:rsidRDefault="000A705E">
    <w:pPr>
      <w:ind w:left="720"/>
      <w:jc w:val="right"/>
      <w:rPr>
        <w:b/>
        <w:color w:val="FFFFFF"/>
        <w:sz w:val="20"/>
        <w:szCs w:val="20"/>
        <w:shd w:val="clear" w:color="auto" w:fill="5909AB"/>
      </w:rPr>
    </w:pPr>
    <w:r>
      <w:rPr>
        <w:b/>
        <w:color w:val="FFFFFF"/>
        <w:sz w:val="20"/>
        <w:szCs w:val="20"/>
        <w:shd w:val="clear" w:color="auto" w:fill="5909AB"/>
      </w:rPr>
      <w:t xml:space="preserve"> </w:t>
    </w:r>
    <w:r>
      <w:rPr>
        <w:b/>
        <w:color w:val="FFFFFF"/>
        <w:sz w:val="20"/>
        <w:szCs w:val="20"/>
        <w:shd w:val="clear" w:color="auto" w:fill="5909AB"/>
      </w:rPr>
      <w:fldChar w:fldCharType="begin"/>
    </w:r>
    <w:r>
      <w:rPr>
        <w:b/>
        <w:color w:val="FFFFFF"/>
        <w:sz w:val="20"/>
        <w:szCs w:val="20"/>
        <w:shd w:val="clear" w:color="auto" w:fill="5909AB"/>
      </w:rPr>
      <w:instrText>PAGE</w:instrText>
    </w:r>
    <w:r>
      <w:rPr>
        <w:b/>
        <w:color w:val="FFFFFF"/>
        <w:sz w:val="20"/>
        <w:szCs w:val="20"/>
        <w:shd w:val="clear" w:color="auto" w:fill="5909AB"/>
      </w:rPr>
      <w:fldChar w:fldCharType="separate"/>
    </w:r>
    <w:r>
      <w:rPr>
        <w:b/>
        <w:noProof/>
        <w:color w:val="FFFFFF"/>
        <w:sz w:val="20"/>
        <w:szCs w:val="20"/>
        <w:shd w:val="clear" w:color="auto" w:fill="5909AB"/>
      </w:rPr>
      <w:t>2</w:t>
    </w:r>
    <w:r>
      <w:rPr>
        <w:b/>
        <w:color w:val="FFFFFF"/>
        <w:sz w:val="20"/>
        <w:szCs w:val="20"/>
        <w:shd w:val="clear" w:color="auto" w:fill="5909A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2586" w:rsidRDefault="00992586">
      <w:pPr>
        <w:spacing w:line="240" w:lineRule="auto"/>
      </w:pPr>
      <w:r>
        <w:separator/>
      </w:r>
    </w:p>
  </w:footnote>
  <w:footnote w:type="continuationSeparator" w:id="0">
    <w:p w:rsidR="00992586" w:rsidRDefault="009925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702" w:rsidRDefault="00992586">
    <w:pPr>
      <w:widowControl w:val="0"/>
      <w:spacing w:line="240" w:lineRule="auto"/>
    </w:pPr>
    <w:hyperlink r:id="rId1">
      <w:r w:rsidR="000A705E">
        <w:rPr>
          <w:noProof/>
          <w:color w:val="1155CC"/>
          <w:u w:val="single"/>
          <w:lang w:val="fr-FR"/>
        </w:rPr>
        <w:drawing>
          <wp:inline distT="114300" distB="114300" distL="114300" distR="114300">
            <wp:extent cx="1490663" cy="70043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490663" cy="700432"/>
                    </a:xfrm>
                    <a:prstGeom prst="rect">
                      <a:avLst/>
                    </a:prstGeom>
                    <a:ln/>
                  </pic:spPr>
                </pic:pic>
              </a:graphicData>
            </a:graphic>
          </wp:inline>
        </w:drawing>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702"/>
    <w:rsid w:val="000A705E"/>
    <w:rsid w:val="00451702"/>
    <w:rsid w:val="00743CA5"/>
    <w:rsid w:val="00992586"/>
    <w:rsid w:val="00BC2E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710BE"/>
  <w15:docId w15:val="{3DB6F526-1212-4906-9236-34AA41573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209902">
      <w:bodyDiv w:val="1"/>
      <w:marLeft w:val="0"/>
      <w:marRight w:val="0"/>
      <w:marTop w:val="0"/>
      <w:marBottom w:val="0"/>
      <w:divBdr>
        <w:top w:val="none" w:sz="0" w:space="0" w:color="auto"/>
        <w:left w:val="none" w:sz="0" w:space="0" w:color="auto"/>
        <w:bottom w:val="none" w:sz="0" w:space="0" w:color="auto"/>
        <w:right w:val="none" w:sz="0" w:space="0" w:color="auto"/>
      </w:divBdr>
      <w:divsChild>
        <w:div w:id="1781606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code.fr" TargetMode="External"/><Relationship Id="rId13" Type="http://schemas.openxmlformats.org/officeDocument/2006/relationships/hyperlink" Target="http://www.s24b.com/" TargetMode="External"/><Relationship Id="rId18" Type="http://schemas.openxmlformats.org/officeDocument/2006/relationships/hyperlink" Target="https://www.univ-nantes.fr/" TargetMode="External"/><Relationship Id="rId26" Type="http://schemas.openxmlformats.org/officeDocument/2006/relationships/hyperlink" Target="http://www.unit.eu/" TargetMode="External"/><Relationship Id="rId3" Type="http://schemas.openxmlformats.org/officeDocument/2006/relationships/webSettings" Target="webSettings.xml"/><Relationship Id="rId21" Type="http://schemas.openxmlformats.org/officeDocument/2006/relationships/hyperlink" Target="https://lacompagnieducode.org" TargetMode="External"/><Relationship Id="rId34" Type="http://schemas.openxmlformats.org/officeDocument/2006/relationships/footer" Target="footer1.xml"/><Relationship Id="rId7" Type="http://schemas.openxmlformats.org/officeDocument/2006/relationships/hyperlink" Target="https://classcode.fr" TargetMode="External"/><Relationship Id="rId12" Type="http://schemas.openxmlformats.org/officeDocument/2006/relationships/hyperlink" Target="http://www.s24b.com/" TargetMode="External"/><Relationship Id="rId17" Type="http://schemas.openxmlformats.org/officeDocument/2006/relationships/hyperlink" Target="https://data.bingo/" TargetMode="External"/><Relationship Id="rId25" Type="http://schemas.openxmlformats.org/officeDocument/2006/relationships/hyperlink" Target="https://www.education.gouv.fr/" TargetMode="External"/><Relationship Id="rId3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data.bingo/" TargetMode="External"/><Relationship Id="rId20" Type="http://schemas.openxmlformats.org/officeDocument/2006/relationships/hyperlink" Target="https://lacompagnieducode.org" TargetMode="External"/><Relationship Id="rId29" Type="http://schemas.openxmlformats.org/officeDocument/2006/relationships/hyperlink" Target="https://educazur.fr/" TargetMode="External"/><Relationship Id="rId1" Type="http://schemas.openxmlformats.org/officeDocument/2006/relationships/styles" Target="styles.xml"/><Relationship Id="rId6" Type="http://schemas.openxmlformats.org/officeDocument/2006/relationships/hyperlink" Target="https://classcode.fr/iai" TargetMode="External"/><Relationship Id="rId11" Type="http://schemas.openxmlformats.org/officeDocument/2006/relationships/hyperlink" Target="http://magicmakers.fr/" TargetMode="External"/><Relationship Id="rId24" Type="http://schemas.openxmlformats.org/officeDocument/2006/relationships/hyperlink" Target="https://www.education.gouv.fr/" TargetMode="External"/><Relationship Id="rId32" Type="http://schemas.openxmlformats.org/officeDocument/2006/relationships/image" Target="media/image1.png"/><Relationship Id="rId5" Type="http://schemas.openxmlformats.org/officeDocument/2006/relationships/endnotes" Target="endnotes.xml"/><Relationship Id="rId15" Type="http://schemas.openxmlformats.org/officeDocument/2006/relationships/hyperlink" Target="https://www.4minutes34.com/" TargetMode="External"/><Relationship Id="rId23" Type="http://schemas.openxmlformats.org/officeDocument/2006/relationships/hyperlink" Target="https://laligue.org/" TargetMode="External"/><Relationship Id="rId28" Type="http://schemas.openxmlformats.org/officeDocument/2006/relationships/hyperlink" Target="https://educazur.fr/" TargetMode="External"/><Relationship Id="rId36" Type="http://schemas.openxmlformats.org/officeDocument/2006/relationships/theme" Target="theme/theme1.xml"/><Relationship Id="rId10" Type="http://schemas.openxmlformats.org/officeDocument/2006/relationships/hyperlink" Target="http://magicmakers.fr/" TargetMode="External"/><Relationship Id="rId19" Type="http://schemas.openxmlformats.org/officeDocument/2006/relationships/hyperlink" Target="https://www.univ-nantes.fr/" TargetMode="External"/><Relationship Id="rId31" Type="http://schemas.openxmlformats.org/officeDocument/2006/relationships/hyperlink" Target="http://leblob.fr" TargetMode="External"/><Relationship Id="rId4" Type="http://schemas.openxmlformats.org/officeDocument/2006/relationships/footnotes" Target="footnotes.xml"/><Relationship Id="rId9" Type="http://schemas.openxmlformats.org/officeDocument/2006/relationships/hyperlink" Target="https://www.inria.fr" TargetMode="External"/><Relationship Id="rId14" Type="http://schemas.openxmlformats.org/officeDocument/2006/relationships/hyperlink" Target="https://www.4minutes34.com/" TargetMode="External"/><Relationship Id="rId22" Type="http://schemas.openxmlformats.org/officeDocument/2006/relationships/hyperlink" Target="https://laligue.org/" TargetMode="External"/><Relationship Id="rId27" Type="http://schemas.openxmlformats.org/officeDocument/2006/relationships/hyperlink" Target="http://www.unit.eu/" TargetMode="External"/><Relationship Id="rId30" Type="http://schemas.openxmlformats.org/officeDocument/2006/relationships/hyperlink" Target="http://leblob.fr"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lasscode.fr/i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789</Words>
  <Characters>4342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INRIA</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 Goussu</dc:creator>
  <cp:lastModifiedBy>Utilisateur Windows</cp:lastModifiedBy>
  <cp:revision>4</cp:revision>
  <dcterms:created xsi:type="dcterms:W3CDTF">2020-04-06T07:52:00Z</dcterms:created>
  <dcterms:modified xsi:type="dcterms:W3CDTF">2020-04-06T17:50:00Z</dcterms:modified>
</cp:coreProperties>
</file>